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FE" w:rsidRPr="007260AB" w:rsidRDefault="00F23FBC">
      <w:pPr>
        <w:spacing w:line="560" w:lineRule="exact"/>
        <w:jc w:val="center"/>
        <w:rPr>
          <w:rFonts w:asciiTheme="minorEastAsia" w:hAnsiTheme="minorEastAsia" w:cs="方正小标宋简体"/>
          <w:sz w:val="38"/>
          <w:szCs w:val="38"/>
        </w:rPr>
      </w:pPr>
      <w:r w:rsidRPr="007260AB">
        <w:rPr>
          <w:rFonts w:asciiTheme="minorEastAsia" w:hAnsiTheme="minorEastAsia" w:cs="方正小标宋简体" w:hint="eastAsia"/>
          <w:sz w:val="38"/>
          <w:szCs w:val="38"/>
        </w:rPr>
        <w:t>法律顾问需求清单</w:t>
      </w:r>
    </w:p>
    <w:tbl>
      <w:tblPr>
        <w:tblStyle w:val="a7"/>
        <w:tblW w:w="0" w:type="auto"/>
        <w:tblLook w:val="04A0"/>
      </w:tblPr>
      <w:tblGrid>
        <w:gridCol w:w="2325"/>
        <w:gridCol w:w="11849"/>
      </w:tblGrid>
      <w:tr w:rsidR="00A32DFE" w:rsidRPr="007260AB">
        <w:trPr>
          <w:trHeight w:val="5357"/>
        </w:trPr>
        <w:tc>
          <w:tcPr>
            <w:tcW w:w="2325" w:type="dxa"/>
            <w:vAlign w:val="center"/>
          </w:tcPr>
          <w:p w:rsidR="00A32DFE" w:rsidRPr="007260AB" w:rsidRDefault="00F23FBC">
            <w:pPr>
              <w:jc w:val="center"/>
              <w:rPr>
                <w:rFonts w:asciiTheme="minorEastAsia" w:hAnsiTheme="minorEastAsia" w:cs="黑体"/>
                <w:sz w:val="24"/>
                <w:szCs w:val="24"/>
              </w:rPr>
            </w:pPr>
            <w:r w:rsidRPr="007260AB">
              <w:rPr>
                <w:rFonts w:asciiTheme="minorEastAsia" w:hAnsiTheme="minorEastAsia" w:cs="黑体" w:hint="eastAsia"/>
                <w:sz w:val="32"/>
                <w:szCs w:val="32"/>
              </w:rPr>
              <w:t>基本条件</w:t>
            </w:r>
          </w:p>
        </w:tc>
        <w:tc>
          <w:tcPr>
            <w:tcW w:w="11849" w:type="dxa"/>
          </w:tcPr>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一）日常法律咨询：及时响应我行日常经营管理中涉及的各类法律问题咨询，包括但不限于金融业务合规、合同审查要点、纠纷应对策略等，提供准确、清晰且具有可操作性的法律意见和建议，并根据需要出具书面法律意见书。​</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二）合同及法律文本审查：对我行各类业务合同、协议、章程以及其他法律文本进行严格审查，确保其内容合法合规、条款完备、风险可控，并提出合理的修改建议。同时，针对重大合同或商务事项，参与谈判、签约等活动全程，从法律角度提供支持与保障，协助我行有效规避法律风险。​</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（三）重要会议见证与法律支持：列席并见证我行股东大会、董事会、监事会以及其他重要内部会议，依据会议内容及相关法律法规，出具专业的法律意见书，确保会议程序及决议的合法性和有效性。​</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四）纠纷处理与风险应对：当我行面临或可能发生法律纠纷时，迅速开展法律论证，制定全面、切实可行的解决方案。积极参与纠纷的谈判、调解、仲裁及诉讼活动，维护我行合法权益；对于潜在法律风险，提前预警并提出防范措施，降低风险发生概率及可能造成的损失。​</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（五）法律培训与资讯提供：定期为我行员工开展有针对性的法律专题培训，内容涵盖金融法律法</w:t>
            </w:r>
            <w:r w:rsidRPr="007260AB">
              <w:rPr>
                <w:rFonts w:asciiTheme="minorEastAsia" w:hAnsiTheme="minorEastAsia" w:cs="黑体" w:hint="eastAsia"/>
                <w:sz w:val="24"/>
                <w:szCs w:val="28"/>
              </w:rPr>
              <w:t>规解读、合规操作实务、风险防范案例分析等，提升员工法律意识和合规操作能力。同时，及时向我行提供最新的法律政策资讯、行业法律动态及法律风险防控指引等资料。​</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六）新产品及项目法律支持：对我行及其辖内支机构拟推出的新产品、新业务或投资项目进行全面的法律可行性分析论证，协助制定合规的业务流程和风险控制措施，确保新产品及项目在合法合规的框架内顺利推进。</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（七）其他法律事务：完成我行交办的其他临时性、专项性法律事务，如出具律师函、参与专项法律调研等。</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（八）每年免费代理案件次数，律师费优惠比例等。</w:t>
            </w:r>
          </w:p>
        </w:tc>
      </w:tr>
      <w:tr w:rsidR="00A32DFE" w:rsidRPr="007260AB">
        <w:trPr>
          <w:trHeight w:val="350"/>
        </w:trPr>
        <w:tc>
          <w:tcPr>
            <w:tcW w:w="2325" w:type="dxa"/>
            <w:vAlign w:val="center"/>
          </w:tcPr>
          <w:p w:rsidR="00A32DFE" w:rsidRPr="007260AB" w:rsidRDefault="00F23FBC">
            <w:pPr>
              <w:jc w:val="center"/>
              <w:rPr>
                <w:rFonts w:asciiTheme="minorEastAsia" w:hAnsiTheme="minorEastAsia" w:cs="黑体"/>
                <w:sz w:val="32"/>
                <w:szCs w:val="32"/>
              </w:rPr>
            </w:pPr>
            <w:r w:rsidRPr="007260AB">
              <w:rPr>
                <w:rFonts w:asciiTheme="minorEastAsia" w:hAnsiTheme="minorEastAsia" w:cs="黑体" w:hint="eastAsia"/>
                <w:sz w:val="32"/>
                <w:szCs w:val="32"/>
              </w:rPr>
              <w:t>选派律师个人资</w:t>
            </w:r>
            <w:r w:rsidRPr="007260AB">
              <w:rPr>
                <w:rFonts w:asciiTheme="minorEastAsia" w:hAnsiTheme="minorEastAsia" w:cs="黑体" w:hint="eastAsia"/>
                <w:sz w:val="32"/>
                <w:szCs w:val="32"/>
              </w:rPr>
              <w:t>质要求</w:t>
            </w:r>
          </w:p>
        </w:tc>
        <w:tc>
          <w:tcPr>
            <w:tcW w:w="11849" w:type="dxa"/>
          </w:tcPr>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（一）持有有效的律师执业证书，且执业年限不少于</w:t>
            </w:r>
            <w:r w:rsidRPr="007260AB">
              <w:rPr>
                <w:rFonts w:asciiTheme="minorEastAsia" w:hAnsiTheme="minorEastAsia" w:cs="黑体" w:hint="eastAsia"/>
                <w:sz w:val="24"/>
                <w:szCs w:val="28"/>
              </w:rPr>
              <w:t>10</w:t>
            </w:r>
            <w:r w:rsidRPr="007260AB">
              <w:rPr>
                <w:rFonts w:asciiTheme="minorEastAsia" w:hAnsiTheme="minorEastAsia" w:cs="黑体" w:hint="eastAsia"/>
                <w:sz w:val="24"/>
                <w:szCs w:val="28"/>
              </w:rPr>
              <w:t>年，具备深厚的法律专业知识和扎实的理论功底。</w:t>
            </w:r>
            <w:r w:rsidRPr="007260AB">
              <w:rPr>
                <w:rFonts w:asciiTheme="minorEastAsia" w:hAnsiTheme="minorEastAsia" w:cs="黑体"/>
                <w:sz w:val="24"/>
                <w:szCs w:val="28"/>
              </w:rPr>
              <w:t>​</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（二）</w:t>
            </w:r>
            <w:r w:rsidRPr="007260AB">
              <w:rPr>
                <w:rFonts w:asciiTheme="minorEastAsia" w:hAnsiTheme="minorEastAsia" w:cs="黑体"/>
                <w:sz w:val="24"/>
                <w:szCs w:val="28"/>
              </w:rPr>
              <w:t>具有丰富的金融法律实务经验，熟悉与银行业务相关的法律法规、监管政策，能够准确把握金融法律事务中的关键问题并提供切实有效的解决方案。</w:t>
            </w:r>
            <w:r w:rsidRPr="007260AB">
              <w:rPr>
                <w:rFonts w:asciiTheme="minorEastAsia" w:hAnsiTheme="minorEastAsia" w:cs="黑体"/>
                <w:sz w:val="24"/>
                <w:szCs w:val="28"/>
              </w:rPr>
              <w:t>​</w:t>
            </w:r>
          </w:p>
          <w:p w:rsidR="00A32DFE" w:rsidRPr="007260AB" w:rsidRDefault="00F23FBC">
            <w:pPr>
              <w:rPr>
                <w:rFonts w:asciiTheme="minorEastAsia" w:hAnsiTheme="minorEastAsia" w:cs="黑体"/>
                <w:sz w:val="24"/>
                <w:szCs w:val="28"/>
              </w:rPr>
            </w:pPr>
            <w:r w:rsidRPr="007260AB">
              <w:rPr>
                <w:rFonts w:asciiTheme="minorEastAsia" w:hAnsiTheme="minorEastAsia" w:cs="黑体" w:hint="eastAsia"/>
                <w:sz w:val="24"/>
                <w:szCs w:val="28"/>
              </w:rPr>
              <w:t>（三）</w:t>
            </w:r>
            <w:r w:rsidRPr="007260AB">
              <w:rPr>
                <w:rFonts w:asciiTheme="minorEastAsia" w:hAnsiTheme="minorEastAsia" w:cs="黑体"/>
                <w:sz w:val="24"/>
                <w:szCs w:val="28"/>
              </w:rPr>
              <w:t>具备较强的沟通协调能力、谈判技巧和应变能力，能够与我行各部门及外部相关机构进行良好的沟通协作，妥善处理各类法律事务。</w:t>
            </w:r>
            <w:r w:rsidRPr="007260AB">
              <w:rPr>
                <w:rFonts w:asciiTheme="minorEastAsia" w:hAnsiTheme="minorEastAsia" w:cs="黑体"/>
                <w:sz w:val="24"/>
                <w:szCs w:val="28"/>
              </w:rPr>
              <w:t>​</w:t>
            </w:r>
          </w:p>
          <w:p w:rsidR="00A32DFE" w:rsidRPr="007260AB" w:rsidRDefault="00F23FBC">
            <w:pPr>
              <w:rPr>
                <w:rFonts w:asciiTheme="minorEastAsia" w:hAnsiTheme="minorEastAsia" w:cs="黑体"/>
                <w:sz w:val="24"/>
                <w:szCs w:val="24"/>
              </w:rPr>
            </w:pPr>
            <w:r w:rsidRPr="007260AB">
              <w:rPr>
                <w:rFonts w:asciiTheme="minorEastAsia" w:hAnsiTheme="minorEastAsia" w:cs="黑体" w:hint="eastAsia"/>
                <w:sz w:val="24"/>
                <w:szCs w:val="28"/>
              </w:rPr>
              <w:t>（四）</w:t>
            </w:r>
            <w:r w:rsidRPr="007260AB">
              <w:rPr>
                <w:rFonts w:asciiTheme="minorEastAsia" w:hAnsiTheme="minorEastAsia" w:cs="黑体"/>
                <w:sz w:val="24"/>
                <w:szCs w:val="28"/>
              </w:rPr>
              <w:t>恪守律师职业道德和执业纪律，诚实守信，勤勉尽责，能够依法维护我行的合法权益，在业内拥有良好</w:t>
            </w:r>
            <w:r w:rsidRPr="007260AB">
              <w:rPr>
                <w:rFonts w:asciiTheme="minorEastAsia" w:hAnsiTheme="minorEastAsia" w:cs="黑体"/>
                <w:sz w:val="24"/>
                <w:szCs w:val="28"/>
              </w:rPr>
              <w:lastRenderedPageBreak/>
              <w:t>的声誉和较高的信誉。</w:t>
            </w:r>
          </w:p>
        </w:tc>
      </w:tr>
      <w:tr w:rsidR="00A32DFE" w:rsidRPr="007260AB">
        <w:trPr>
          <w:trHeight w:val="354"/>
        </w:trPr>
        <w:tc>
          <w:tcPr>
            <w:tcW w:w="2325" w:type="dxa"/>
            <w:vAlign w:val="center"/>
          </w:tcPr>
          <w:p w:rsidR="00A32DFE" w:rsidRPr="007260AB" w:rsidRDefault="00F23FBC">
            <w:pPr>
              <w:jc w:val="center"/>
              <w:rPr>
                <w:rFonts w:asciiTheme="minorEastAsia" w:hAnsiTheme="minorEastAsia" w:cs="黑体"/>
                <w:sz w:val="32"/>
                <w:szCs w:val="32"/>
              </w:rPr>
            </w:pPr>
            <w:r w:rsidRPr="007260AB">
              <w:rPr>
                <w:rFonts w:asciiTheme="minorEastAsia" w:hAnsiTheme="minorEastAsia" w:cs="黑体" w:hint="eastAsia"/>
                <w:sz w:val="32"/>
                <w:szCs w:val="32"/>
              </w:rPr>
              <w:lastRenderedPageBreak/>
              <w:t>诉讼业务报价</w:t>
            </w:r>
          </w:p>
        </w:tc>
        <w:tc>
          <w:tcPr>
            <w:tcW w:w="11849" w:type="dxa"/>
          </w:tcPr>
          <w:p w:rsidR="00A32DFE" w:rsidRPr="007260AB" w:rsidRDefault="00A32DFE">
            <w:pPr>
              <w:jc w:val="left"/>
              <w:rPr>
                <w:rFonts w:asciiTheme="minorEastAsia" w:hAnsiTheme="minorEastAsia" w:cs="黑体"/>
                <w:sz w:val="24"/>
                <w:szCs w:val="24"/>
              </w:rPr>
            </w:pPr>
          </w:p>
          <w:p w:rsidR="00A32DFE" w:rsidRPr="007260AB" w:rsidRDefault="00A32DFE">
            <w:pPr>
              <w:jc w:val="left"/>
              <w:rPr>
                <w:rFonts w:asciiTheme="minorEastAsia" w:hAnsiTheme="minorEastAsia" w:cs="黑体"/>
                <w:sz w:val="24"/>
                <w:szCs w:val="24"/>
              </w:rPr>
            </w:pPr>
          </w:p>
          <w:p w:rsidR="00A32DFE" w:rsidRPr="007260AB" w:rsidRDefault="00A32DFE">
            <w:pPr>
              <w:jc w:val="left"/>
              <w:rPr>
                <w:rFonts w:asciiTheme="minorEastAsia" w:hAnsiTheme="minorEastAsia" w:cs="黑体"/>
                <w:sz w:val="24"/>
                <w:szCs w:val="24"/>
              </w:rPr>
            </w:pPr>
          </w:p>
          <w:p w:rsidR="00A32DFE" w:rsidRPr="007260AB" w:rsidRDefault="00F23FBC">
            <w:pPr>
              <w:jc w:val="left"/>
              <w:rPr>
                <w:rFonts w:asciiTheme="minorEastAsia" w:hAnsiTheme="minorEastAsia" w:cs="黑体"/>
                <w:sz w:val="24"/>
                <w:szCs w:val="24"/>
              </w:rPr>
            </w:pPr>
            <w:r w:rsidRPr="007260AB">
              <w:rPr>
                <w:rFonts w:asciiTheme="minorEastAsia" w:hAnsiTheme="minorEastAsia" w:cs="黑体" w:hint="eastAsia"/>
                <w:sz w:val="24"/>
                <w:szCs w:val="24"/>
              </w:rPr>
              <w:t>按照诉讼标的为</w:t>
            </w:r>
            <w:r w:rsidRPr="007260AB">
              <w:rPr>
                <w:rFonts w:asciiTheme="minorEastAsia" w:hAnsiTheme="minorEastAsia" w:cs="黑体" w:hint="eastAsia"/>
                <w:sz w:val="24"/>
                <w:szCs w:val="24"/>
              </w:rPr>
              <w:t>500</w:t>
            </w:r>
            <w:r w:rsidRPr="007260AB">
              <w:rPr>
                <w:rFonts w:asciiTheme="minorEastAsia" w:hAnsiTheme="minorEastAsia" w:cs="黑体" w:hint="eastAsia"/>
                <w:sz w:val="24"/>
                <w:szCs w:val="24"/>
              </w:rPr>
              <w:t>万以内的单笔诉讼业务进行报价。</w:t>
            </w:r>
          </w:p>
          <w:p w:rsidR="00A32DFE" w:rsidRPr="007260AB" w:rsidRDefault="00A32DFE">
            <w:pPr>
              <w:jc w:val="left"/>
              <w:rPr>
                <w:rFonts w:asciiTheme="minorEastAsia" w:hAnsiTheme="minorEastAsia" w:cs="黑体"/>
                <w:sz w:val="24"/>
                <w:szCs w:val="24"/>
              </w:rPr>
            </w:pPr>
          </w:p>
          <w:p w:rsidR="00A32DFE" w:rsidRPr="007260AB" w:rsidRDefault="00A32DFE">
            <w:pPr>
              <w:jc w:val="left"/>
              <w:rPr>
                <w:rFonts w:asciiTheme="minorEastAsia" w:hAnsiTheme="minorEastAsia" w:cs="黑体"/>
                <w:sz w:val="24"/>
                <w:szCs w:val="24"/>
              </w:rPr>
            </w:pPr>
          </w:p>
          <w:p w:rsidR="00A32DFE" w:rsidRPr="007260AB" w:rsidRDefault="00A32DFE">
            <w:pPr>
              <w:jc w:val="left"/>
              <w:rPr>
                <w:rFonts w:asciiTheme="minorEastAsia" w:hAnsiTheme="minorEastAsia" w:cs="黑体"/>
                <w:sz w:val="24"/>
                <w:szCs w:val="24"/>
              </w:rPr>
            </w:pPr>
          </w:p>
        </w:tc>
      </w:tr>
    </w:tbl>
    <w:p w:rsidR="00A32DFE" w:rsidRPr="007260AB" w:rsidRDefault="00A32DFE">
      <w:pPr>
        <w:rPr>
          <w:rFonts w:asciiTheme="minorEastAsia" w:hAnsiTheme="minorEastAsia" w:cs="方正小标宋简体"/>
          <w:sz w:val="38"/>
          <w:szCs w:val="38"/>
        </w:rPr>
        <w:sectPr w:rsidR="00A32DFE" w:rsidRPr="007260AB">
          <w:pgSz w:w="16838" w:h="11906" w:orient="landscape"/>
          <w:pgMar w:top="1800" w:right="1440" w:bottom="1800" w:left="1440" w:header="851" w:footer="992" w:gutter="0"/>
          <w:cols w:space="425"/>
          <w:docGrid w:type="lines" w:linePitch="312"/>
        </w:sectPr>
      </w:pPr>
      <w:bookmarkStart w:id="0" w:name="_GoBack"/>
      <w:bookmarkEnd w:id="0"/>
    </w:p>
    <w:p w:rsidR="00A32DFE" w:rsidRPr="007260AB" w:rsidRDefault="00A32DFE">
      <w:pPr>
        <w:spacing w:line="360" w:lineRule="auto"/>
        <w:rPr>
          <w:rFonts w:asciiTheme="minorEastAsia" w:hAnsiTheme="minorEastAsia"/>
          <w:sz w:val="32"/>
          <w:szCs w:val="32"/>
        </w:rPr>
      </w:pPr>
    </w:p>
    <w:sectPr w:rsidR="00A32DFE" w:rsidRPr="007260AB" w:rsidSect="00A32D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FBC" w:rsidRDefault="00F23FBC" w:rsidP="007260AB">
      <w:r>
        <w:separator/>
      </w:r>
    </w:p>
  </w:endnote>
  <w:endnote w:type="continuationSeparator" w:id="1">
    <w:p w:rsidR="00F23FBC" w:rsidRDefault="00F23FBC" w:rsidP="0072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FBC" w:rsidRDefault="00F23FBC" w:rsidP="007260AB">
      <w:r>
        <w:separator/>
      </w:r>
    </w:p>
  </w:footnote>
  <w:footnote w:type="continuationSeparator" w:id="1">
    <w:p w:rsidR="00F23FBC" w:rsidRDefault="00F23FBC" w:rsidP="00726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QzYzM4NGFkMWE1MjJiYjhmYzYwNTAwYTVmOWM1NTkifQ=="/>
  </w:docVars>
  <w:rsids>
    <w:rsidRoot w:val="00FC7DC9"/>
    <w:rsid w:val="00043190"/>
    <w:rsid w:val="00052927"/>
    <w:rsid w:val="001A1319"/>
    <w:rsid w:val="001B4F62"/>
    <w:rsid w:val="001E0B1F"/>
    <w:rsid w:val="001F3228"/>
    <w:rsid w:val="00266624"/>
    <w:rsid w:val="00293EFD"/>
    <w:rsid w:val="002D038E"/>
    <w:rsid w:val="00324507"/>
    <w:rsid w:val="00362829"/>
    <w:rsid w:val="00465364"/>
    <w:rsid w:val="00472EA0"/>
    <w:rsid w:val="004E6704"/>
    <w:rsid w:val="00505399"/>
    <w:rsid w:val="00550C92"/>
    <w:rsid w:val="00657AD5"/>
    <w:rsid w:val="006B0152"/>
    <w:rsid w:val="006F01A1"/>
    <w:rsid w:val="00715D57"/>
    <w:rsid w:val="007260AB"/>
    <w:rsid w:val="00750D9E"/>
    <w:rsid w:val="00752548"/>
    <w:rsid w:val="00776026"/>
    <w:rsid w:val="007A13AD"/>
    <w:rsid w:val="007B13E4"/>
    <w:rsid w:val="00807C4F"/>
    <w:rsid w:val="00962C0D"/>
    <w:rsid w:val="00972D63"/>
    <w:rsid w:val="00973A77"/>
    <w:rsid w:val="009E6201"/>
    <w:rsid w:val="00A32DFE"/>
    <w:rsid w:val="00AC376F"/>
    <w:rsid w:val="00B658D1"/>
    <w:rsid w:val="00BB18B0"/>
    <w:rsid w:val="00C45C78"/>
    <w:rsid w:val="00D91FE9"/>
    <w:rsid w:val="00D971B1"/>
    <w:rsid w:val="00E54855"/>
    <w:rsid w:val="00E55239"/>
    <w:rsid w:val="00F23FBC"/>
    <w:rsid w:val="00FA2E29"/>
    <w:rsid w:val="00FA5007"/>
    <w:rsid w:val="00FC7DC9"/>
    <w:rsid w:val="00FF3956"/>
    <w:rsid w:val="05435F74"/>
    <w:rsid w:val="069075AE"/>
    <w:rsid w:val="0757624F"/>
    <w:rsid w:val="08E66B26"/>
    <w:rsid w:val="0B1E21D5"/>
    <w:rsid w:val="18172FFD"/>
    <w:rsid w:val="18402749"/>
    <w:rsid w:val="1D7A45EE"/>
    <w:rsid w:val="212638D1"/>
    <w:rsid w:val="2EDF3708"/>
    <w:rsid w:val="35176751"/>
    <w:rsid w:val="37C07CDB"/>
    <w:rsid w:val="3D721952"/>
    <w:rsid w:val="3E2C3F05"/>
    <w:rsid w:val="47FF010F"/>
    <w:rsid w:val="4DFE10C7"/>
    <w:rsid w:val="568D3185"/>
    <w:rsid w:val="58D26AB1"/>
    <w:rsid w:val="592C700C"/>
    <w:rsid w:val="6A7F1136"/>
    <w:rsid w:val="6DD62CAB"/>
    <w:rsid w:val="6E526382"/>
    <w:rsid w:val="6EB52A91"/>
    <w:rsid w:val="74554965"/>
    <w:rsid w:val="7AF20636"/>
    <w:rsid w:val="7CDB38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DF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32DFE"/>
    <w:pPr>
      <w:ind w:leftChars="2500" w:left="100"/>
    </w:pPr>
  </w:style>
  <w:style w:type="paragraph" w:styleId="a4">
    <w:name w:val="footer"/>
    <w:basedOn w:val="a"/>
    <w:link w:val="Char0"/>
    <w:uiPriority w:val="99"/>
    <w:semiHidden/>
    <w:unhideWhenUsed/>
    <w:qFormat/>
    <w:rsid w:val="00A32DF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32DF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32DFE"/>
    <w:rPr>
      <w:sz w:val="24"/>
    </w:rPr>
  </w:style>
  <w:style w:type="table" w:styleId="a7">
    <w:name w:val="Table Grid"/>
    <w:basedOn w:val="a1"/>
    <w:uiPriority w:val="59"/>
    <w:qFormat/>
    <w:rsid w:val="00A3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A32DFE"/>
    <w:rPr>
      <w:i/>
    </w:rPr>
  </w:style>
  <w:style w:type="character" w:styleId="a9">
    <w:name w:val="Hyperlink"/>
    <w:basedOn w:val="a0"/>
    <w:uiPriority w:val="99"/>
    <w:semiHidden/>
    <w:unhideWhenUsed/>
    <w:qFormat/>
    <w:rsid w:val="00A32DFE"/>
    <w:rPr>
      <w:color w:val="0000FF"/>
      <w:u w:val="single"/>
    </w:rPr>
  </w:style>
  <w:style w:type="character" w:customStyle="1" w:styleId="Char1">
    <w:name w:val="页眉 Char"/>
    <w:basedOn w:val="a0"/>
    <w:link w:val="a5"/>
    <w:uiPriority w:val="99"/>
    <w:semiHidden/>
    <w:qFormat/>
    <w:rsid w:val="00A32DFE"/>
    <w:rPr>
      <w:sz w:val="18"/>
      <w:szCs w:val="18"/>
    </w:rPr>
  </w:style>
  <w:style w:type="character" w:customStyle="1" w:styleId="Char0">
    <w:name w:val="页脚 Char"/>
    <w:basedOn w:val="a0"/>
    <w:link w:val="a4"/>
    <w:uiPriority w:val="99"/>
    <w:semiHidden/>
    <w:qFormat/>
    <w:rsid w:val="00A32DFE"/>
    <w:rPr>
      <w:sz w:val="18"/>
      <w:szCs w:val="18"/>
    </w:rPr>
  </w:style>
  <w:style w:type="character" w:customStyle="1" w:styleId="Char">
    <w:name w:val="日期 Char"/>
    <w:basedOn w:val="a0"/>
    <w:link w:val="a3"/>
    <w:uiPriority w:val="99"/>
    <w:semiHidden/>
    <w:qFormat/>
    <w:rsid w:val="00A32D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156</Words>
  <Characters>891</Characters>
  <Application>Microsoft Office Word</Application>
  <DocSecurity>0</DocSecurity>
  <Lines>7</Lines>
  <Paragraphs>2</Paragraphs>
  <ScaleCrop>false</ScaleCrop>
  <Company>P R C</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2025-07-29T01:04:00Z</cp:lastPrinted>
  <dcterms:created xsi:type="dcterms:W3CDTF">2020-07-22T08:41:00Z</dcterms:created>
  <dcterms:modified xsi:type="dcterms:W3CDTF">2025-07-29T03:07:00Z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B42916639CF24586A10B8558AB21CBE9_13</vt:lpwstr>
  </property>
  <property fmtid="{D5CDD505-2E9C-101B-9397-08002B2CF9AE}" pid="4" name="KSOTemplateDocerSaveRecord">
    <vt:lpwstr>eyJoZGlkIjoiYjQzYzM4NGFkMWE1MjJiYjhmYzYwNTAwYTVmOWM1NTkiLCJ1c2VySWQiOiIyMTQ3MTg5NzIifQ==</vt:lpwstr>
  </property>
</Properties>
</file>